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2FD0A1DC" w:rsidR="005053AB" w:rsidRPr="00862CFC" w:rsidRDefault="00FF0D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6FA4DB36" w:rsidR="005053AB" w:rsidRPr="00862CFC" w:rsidRDefault="00292D6A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92D6A">
              <w:rPr>
                <w:rFonts w:ascii="Arial" w:hAnsi="Arial" w:cs="Arial"/>
                <w:sz w:val="20"/>
                <w:szCs w:val="20"/>
              </w:rPr>
              <w:t>Arreglos y archivos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25A6266" w:rsidR="005053AB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92D6A">
              <w:rPr>
                <w:rFonts w:ascii="Arial" w:hAnsi="Arial" w:cs="Arial"/>
                <w:sz w:val="20"/>
                <w:szCs w:val="20"/>
              </w:rPr>
              <w:t>Aplica los arreglos y archivos en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D6A">
              <w:rPr>
                <w:rFonts w:ascii="Arial" w:hAnsi="Arial" w:cs="Arial"/>
                <w:sz w:val="20"/>
                <w:szCs w:val="20"/>
              </w:rPr>
              <w:t>problemas que requieran el almacenamiento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D6A">
              <w:rPr>
                <w:rFonts w:ascii="Arial" w:hAnsi="Arial" w:cs="Arial"/>
                <w:sz w:val="20"/>
                <w:szCs w:val="20"/>
              </w:rPr>
              <w:t>manipulación de datos.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7444F602" w14:textId="77777777" w:rsidR="00292D6A" w:rsidRPr="00292D6A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92D6A">
              <w:rPr>
                <w:rFonts w:ascii="Arial" w:hAnsi="Arial" w:cs="Arial"/>
                <w:sz w:val="20"/>
                <w:szCs w:val="20"/>
              </w:rPr>
              <w:t>5.1 Arreglo unidimensionales.</w:t>
            </w:r>
          </w:p>
          <w:p w14:paraId="241EF4A8" w14:textId="47B94021" w:rsidR="00292D6A" w:rsidRPr="00292D6A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Arreglo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bidimensionales y </w:t>
            </w:r>
            <w:r w:rsidRPr="00292D6A">
              <w:rPr>
                <w:rFonts w:ascii="Arial" w:hAnsi="Arial" w:cs="Arial"/>
                <w:sz w:val="20"/>
                <w:szCs w:val="20"/>
              </w:rPr>
              <w:t>multidimensionales</w:t>
            </w:r>
            <w:proofErr w:type="gramEnd"/>
            <w:r w:rsidRPr="00292D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F522F3" w14:textId="739FC4A7" w:rsidR="00292D6A" w:rsidRPr="00292D6A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92D6A">
              <w:rPr>
                <w:rFonts w:ascii="Arial" w:hAnsi="Arial" w:cs="Arial"/>
                <w:sz w:val="20"/>
                <w:szCs w:val="20"/>
              </w:rPr>
              <w:t>5.3 Apertura, entrada-salida de datos, y cierre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D6A">
              <w:rPr>
                <w:rFonts w:ascii="Arial" w:hAnsi="Arial" w:cs="Arial"/>
                <w:sz w:val="20"/>
                <w:szCs w:val="20"/>
              </w:rPr>
              <w:t>de archivos.</w:t>
            </w:r>
          </w:p>
          <w:p w14:paraId="6ED640BE" w14:textId="4D39E2DD" w:rsidR="007C7DD4" w:rsidRPr="008C51B7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92D6A">
              <w:rPr>
                <w:rFonts w:ascii="Arial" w:hAnsi="Arial" w:cs="Arial"/>
                <w:sz w:val="20"/>
                <w:szCs w:val="20"/>
              </w:rPr>
              <w:t xml:space="preserve">5.4 Elaboración de 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programas</w:t>
            </w:r>
          </w:p>
        </w:tc>
        <w:tc>
          <w:tcPr>
            <w:tcW w:w="2835" w:type="dxa"/>
          </w:tcPr>
          <w:p w14:paraId="0CD8FC29" w14:textId="4EAEA884" w:rsidR="00F01AA6" w:rsidRPr="00F01AA6" w:rsidRDefault="00F01AA6" w:rsidP="00EF0EF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F01AA6">
              <w:rPr>
                <w:rFonts w:ascii="Arial" w:hAnsi="Arial" w:cs="Arial"/>
                <w:sz w:val="20"/>
                <w:szCs w:val="20"/>
              </w:rPr>
              <w:t>Desarrolla programas utilizando arreglos</w:t>
            </w:r>
            <w:r w:rsidRPr="00F0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AA6">
              <w:rPr>
                <w:rFonts w:ascii="Arial" w:hAnsi="Arial" w:cs="Arial"/>
                <w:sz w:val="20"/>
                <w:szCs w:val="20"/>
              </w:rPr>
              <w:t>unidimensionales, bidimensionales y</w:t>
            </w:r>
            <w:r w:rsidRPr="00F0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AA6">
              <w:rPr>
                <w:rFonts w:ascii="Arial" w:hAnsi="Arial" w:cs="Arial"/>
                <w:sz w:val="20"/>
                <w:szCs w:val="20"/>
              </w:rPr>
              <w:t>multidimensionales.</w:t>
            </w:r>
          </w:p>
          <w:p w14:paraId="0AE31160" w14:textId="4839B0E9" w:rsidR="00F01AA6" w:rsidRPr="00F01AA6" w:rsidRDefault="00F01AA6" w:rsidP="009A436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F01AA6">
              <w:rPr>
                <w:rFonts w:ascii="Arial" w:hAnsi="Arial" w:cs="Arial"/>
                <w:sz w:val="20"/>
                <w:szCs w:val="20"/>
              </w:rPr>
              <w:t xml:space="preserve">Diseña programas que </w:t>
            </w:r>
            <w:r w:rsidRPr="00F0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AA6">
              <w:rPr>
                <w:rFonts w:ascii="Arial" w:hAnsi="Arial" w:cs="Arial"/>
                <w:sz w:val="20"/>
                <w:szCs w:val="20"/>
              </w:rPr>
              <w:t>resuelvan problemas</w:t>
            </w:r>
            <w:r w:rsidRPr="00F0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AA6">
              <w:rPr>
                <w:rFonts w:ascii="Arial" w:hAnsi="Arial" w:cs="Arial"/>
                <w:sz w:val="20"/>
                <w:szCs w:val="20"/>
              </w:rPr>
              <w:t>de aplicación del algebra matricial.</w:t>
            </w:r>
          </w:p>
          <w:p w14:paraId="29B3C389" w14:textId="675FA44B" w:rsidR="005053AB" w:rsidRPr="007C7DD4" w:rsidRDefault="00F01AA6" w:rsidP="00292D6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19"/>
              <w:rPr>
                <w:rFonts w:ascii="Arial" w:hAnsi="Arial" w:cs="Arial"/>
                <w:sz w:val="20"/>
                <w:szCs w:val="20"/>
              </w:rPr>
            </w:pPr>
            <w:r w:rsidRPr="00F01AA6">
              <w:rPr>
                <w:rFonts w:ascii="Arial" w:hAnsi="Arial" w:cs="Arial"/>
                <w:sz w:val="20"/>
                <w:szCs w:val="20"/>
              </w:rPr>
              <w:t>Elabora programas para almacenar la</w:t>
            </w:r>
            <w:r w:rsidR="00292D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AA6">
              <w:rPr>
                <w:rFonts w:ascii="Arial" w:hAnsi="Arial" w:cs="Arial"/>
                <w:sz w:val="20"/>
                <w:szCs w:val="20"/>
              </w:rPr>
              <w:t>información de manera permanente.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3B81E98E" w14:textId="51935F08" w:rsidR="005053AB" w:rsidRPr="00092AA5" w:rsidRDefault="00577290" w:rsidP="00092AA5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</w:tc>
        <w:tc>
          <w:tcPr>
            <w:tcW w:w="2086" w:type="dxa"/>
          </w:tcPr>
          <w:p w14:paraId="57198BE6" w14:textId="3FB1AC65" w:rsidR="005053AB" w:rsidRPr="00862CFC" w:rsidRDefault="004E46F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92D6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079D73FB" w:rsidR="00577290" w:rsidRPr="00233468" w:rsidRDefault="00577290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E276B4">
              <w:rPr>
                <w:rFonts w:ascii="Arial Narrow" w:hAnsi="Arial Narrow"/>
              </w:rPr>
              <w:t>y dom</w:t>
            </w:r>
            <w:r w:rsidR="00292D6A">
              <w:rPr>
                <w:rFonts w:ascii="Arial Narrow" w:hAnsi="Arial Narrow"/>
              </w:rPr>
              <w:t>inar Arreglos unidimensionales</w:t>
            </w:r>
          </w:p>
        </w:tc>
        <w:tc>
          <w:tcPr>
            <w:tcW w:w="5913" w:type="dxa"/>
          </w:tcPr>
          <w:p w14:paraId="1E770817" w14:textId="6539820A" w:rsidR="00577290" w:rsidRPr="00862CFC" w:rsidRDefault="00292D6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229CD8CC" w:rsidR="00577290" w:rsidRPr="00233468" w:rsidRDefault="00E276B4" w:rsidP="00292D6A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y dom</w:t>
            </w:r>
            <w:r>
              <w:rPr>
                <w:rFonts w:ascii="Arial Narrow" w:hAnsi="Arial Narrow"/>
              </w:rPr>
              <w:t xml:space="preserve">inar </w:t>
            </w:r>
            <w:r w:rsidR="00292D6A">
              <w:rPr>
                <w:rFonts w:ascii="Arial Narrow" w:hAnsi="Arial Narrow"/>
              </w:rPr>
              <w:t>Arreglos bidimensionales</w:t>
            </w:r>
          </w:p>
        </w:tc>
        <w:tc>
          <w:tcPr>
            <w:tcW w:w="5913" w:type="dxa"/>
          </w:tcPr>
          <w:p w14:paraId="76CEE991" w14:textId="26610182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6C8558EE" w:rsidR="00577290" w:rsidRDefault="00E276B4" w:rsidP="00292D6A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</w:t>
            </w:r>
            <w:r>
              <w:rPr>
                <w:rFonts w:ascii="Arial Narrow" w:hAnsi="Arial Narrow"/>
              </w:rPr>
              <w:t xml:space="preserve">minar </w:t>
            </w:r>
            <w:r w:rsidR="00292D6A">
              <w:rPr>
                <w:rFonts w:ascii="Arial Narrow" w:hAnsi="Arial Narrow"/>
              </w:rPr>
              <w:t>Arreglos multidimensionales</w:t>
            </w:r>
          </w:p>
        </w:tc>
        <w:tc>
          <w:tcPr>
            <w:tcW w:w="5913" w:type="dxa"/>
          </w:tcPr>
          <w:p w14:paraId="50166414" w14:textId="6CEA5B79" w:rsidR="00577290" w:rsidRDefault="00292D6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665E0051" w:rsidR="00577290" w:rsidRDefault="00E276B4" w:rsidP="00292D6A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y dominar </w:t>
            </w:r>
            <w:r w:rsidR="00292D6A">
              <w:rPr>
                <w:rFonts w:ascii="Arial Narrow" w:hAnsi="Arial Narrow"/>
              </w:rPr>
              <w:t>apertura, entrada-salida de datos y cierre de archivos</w:t>
            </w:r>
          </w:p>
        </w:tc>
        <w:tc>
          <w:tcPr>
            <w:tcW w:w="5913" w:type="dxa"/>
          </w:tcPr>
          <w:p w14:paraId="7D0CE3B5" w14:textId="066E4C45" w:rsidR="00577290" w:rsidRDefault="00292D6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B18CFA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F7A08D8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B21EE2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57AAD5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D0E2AA8" w:rsidR="008C51B7" w:rsidRPr="00862CFC" w:rsidRDefault="007070CF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</w:t>
            </w:r>
            <w:r w:rsidR="00292D6A">
              <w:t>con las competencias A</w:t>
            </w:r>
            <w:r>
              <w:t xml:space="preserve">, </w:t>
            </w:r>
            <w:r w:rsidR="00292D6A">
              <w:t>B,C</w:t>
            </w:r>
            <w:r>
              <w:t xml:space="preserve">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5DC7190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292D6A">
              <w:t>umple con las competencias A, B</w:t>
            </w:r>
            <w:r w:rsidR="00605150">
              <w:t xml:space="preserve"> </w:t>
            </w:r>
            <w:r w:rsidR="00292D6A">
              <w:t xml:space="preserve"> y parcialmente 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7AC96014" w:rsidR="008C51B7" w:rsidRPr="00862CFC" w:rsidRDefault="00292D6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A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2E5E31E" w:rsidR="008C51B7" w:rsidRPr="00106009" w:rsidRDefault="00FD096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60FB268E" w:rsidR="008C51B7" w:rsidRPr="00106009" w:rsidRDefault="00292D6A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16DE8139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AC3714D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5846DC19" w:rsidR="008C51B7" w:rsidRPr="00862CFC" w:rsidRDefault="00FD096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3176A1FF" w:rsidR="008C51B7" w:rsidRPr="00862CFC" w:rsidRDefault="00FD096F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2F31713B" w:rsidR="008C51B7" w:rsidRPr="00862CFC" w:rsidRDefault="00FD096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1E608C1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A056E75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16D1A3C0" w:rsidR="008C51B7" w:rsidRPr="00862CFC" w:rsidRDefault="00FD096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4D6B6C80" w:rsidR="008C51B7" w:rsidRPr="00862CFC" w:rsidRDefault="00292D6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2A9069B" w:rsidR="00055465" w:rsidRPr="00106009" w:rsidRDefault="00292D6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96F5447" w:rsidR="00055465" w:rsidRPr="00106009" w:rsidRDefault="00292D6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F011E42" w:rsidR="00055465" w:rsidRPr="00106009" w:rsidRDefault="00292D6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08F28420" w:rsidR="00055465" w:rsidRPr="00106009" w:rsidRDefault="00292D6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414666" w14:textId="77777777" w:rsidR="009B3EBA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94161FB" w14:textId="77777777" w:rsidR="00092AA5" w:rsidRPr="00862CFC" w:rsidRDefault="00092AA5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8.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LevineGuillermo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1993),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Introducción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estructurada.Mc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292D6A" w:rsidRPr="00862CFC" w14:paraId="23032042" w14:textId="77777777" w:rsidTr="004F5269">
        <w:tc>
          <w:tcPr>
            <w:tcW w:w="961" w:type="dxa"/>
          </w:tcPr>
          <w:p w14:paraId="61B1CD54" w14:textId="7777777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1B5F692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D19CC0D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1F710000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1DE2FD5A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61EB608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5C4BC5AD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31A16BD6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F36977C" w14:textId="18B2AFFC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3AD913A9" w14:textId="1A1615B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9661284" w14:textId="7777777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292D6A" w:rsidRPr="00862CFC" w:rsidRDefault="00292D6A" w:rsidP="00292D6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D29F9" w14:textId="77777777" w:rsidR="00751D20" w:rsidRDefault="00751D20" w:rsidP="00862CFC">
      <w:pPr>
        <w:spacing w:after="0" w:line="240" w:lineRule="auto"/>
      </w:pPr>
      <w:r>
        <w:separator/>
      </w:r>
    </w:p>
  </w:endnote>
  <w:endnote w:type="continuationSeparator" w:id="0">
    <w:p w14:paraId="7C19AE99" w14:textId="77777777" w:rsidR="00751D20" w:rsidRDefault="00751D2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DA485" w14:textId="77777777" w:rsidR="00751D20" w:rsidRDefault="00751D20" w:rsidP="00862CFC">
      <w:pPr>
        <w:spacing w:after="0" w:line="240" w:lineRule="auto"/>
      </w:pPr>
      <w:r>
        <w:separator/>
      </w:r>
    </w:p>
  </w:footnote>
  <w:footnote w:type="continuationSeparator" w:id="0">
    <w:p w14:paraId="56316EED" w14:textId="77777777" w:rsidR="00751D20" w:rsidRDefault="00751D2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751D20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99274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D096F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D096F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C3F"/>
    <w:rsid w:val="00015F7E"/>
    <w:rsid w:val="00016390"/>
    <w:rsid w:val="0001678B"/>
    <w:rsid w:val="000300FF"/>
    <w:rsid w:val="00031DD0"/>
    <w:rsid w:val="00055465"/>
    <w:rsid w:val="000626FF"/>
    <w:rsid w:val="000631FB"/>
    <w:rsid w:val="00092AA5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2D6A"/>
    <w:rsid w:val="00293FBE"/>
    <w:rsid w:val="002C258C"/>
    <w:rsid w:val="002C7E24"/>
    <w:rsid w:val="00373659"/>
    <w:rsid w:val="00465AEC"/>
    <w:rsid w:val="004820F8"/>
    <w:rsid w:val="00493A2D"/>
    <w:rsid w:val="004B5321"/>
    <w:rsid w:val="004E46FA"/>
    <w:rsid w:val="004F065B"/>
    <w:rsid w:val="004F5269"/>
    <w:rsid w:val="005053AB"/>
    <w:rsid w:val="00536B92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51D20"/>
    <w:rsid w:val="007A22EC"/>
    <w:rsid w:val="007C7DD4"/>
    <w:rsid w:val="00824F18"/>
    <w:rsid w:val="00862CFC"/>
    <w:rsid w:val="00865C4A"/>
    <w:rsid w:val="008C51B7"/>
    <w:rsid w:val="008C7776"/>
    <w:rsid w:val="0093425D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A95"/>
    <w:rsid w:val="00B749A0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E276B4"/>
    <w:rsid w:val="00F01AA6"/>
    <w:rsid w:val="00F91948"/>
    <w:rsid w:val="00FD096F"/>
    <w:rsid w:val="00FF0DB3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2871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2018-01-18T22:34:00Z</dcterms:created>
  <dcterms:modified xsi:type="dcterms:W3CDTF">2018-01-18T22:48:00Z</dcterms:modified>
</cp:coreProperties>
</file>